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exact" w:line="290"/>
        <w:ind w:left="184" w:right="0" w:firstLine="3502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6"/>
          <w:szCs w:val="26"/>
        </w:rPr>
        <w:t>Проект</w:t>
      </w:r>
    </w:p>
    <w:p>
      <w:pPr>
        <w:pStyle w:val="Normal"/>
        <w:shd w:val="clear" w:fill="FFFFFF"/>
        <w:spacing w:lineRule="exact" w:line="290"/>
        <w:ind w:left="184" w:right="0" w:firstLine="3502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fill="FFFFFF"/>
        <w:spacing w:lineRule="exact" w:line="290"/>
        <w:ind w:left="184" w:right="0" w:hanging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eastAsia="Times New Roman" w:cs="PT Astra Serif"/>
          <w:b/>
          <w:b/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ПРИКАЗ</w:t>
      </w:r>
    </w:p>
    <w:p>
      <w:pPr>
        <w:pStyle w:val="Normal"/>
        <w:shd w:val="clear" w:fill="FFFFFF"/>
        <w:spacing w:lineRule="exact" w:line="290"/>
        <w:jc w:val="both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br/>
        <w:tab/>
      </w:r>
      <w:r>
        <w:rPr>
          <w:rFonts w:cs="PT Astra Serif" w:ascii="PT Astra Serif" w:hAnsi="PT Astra Serif"/>
          <w:b w:val="false"/>
          <w:bCs w:val="false"/>
          <w:sz w:val="26"/>
          <w:szCs w:val="26"/>
          <w:u w:val="none"/>
        </w:rPr>
        <w:t>__________</w:t>
      </w:r>
      <w:r>
        <w:rPr>
          <w:rFonts w:cs="PT Astra Serif" w:ascii="PT Astra Serif" w:hAnsi="PT Astra Serif"/>
          <w:b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PT Astra Serif" w:ascii="PT Astra Serif" w:hAnsi="PT Astra Serif"/>
          <w:b/>
          <w:sz w:val="26"/>
          <w:szCs w:val="26"/>
          <w:u w:val="none"/>
        </w:rPr>
        <w:t>________</w:t>
      </w:r>
    </w:p>
    <w:p>
      <w:pPr>
        <w:pStyle w:val="Normal"/>
        <w:shd w:val="clear" w:fill="FFFFFF"/>
        <w:spacing w:lineRule="exact" w:line="290"/>
        <w:jc w:val="both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г.Ульяновск</w:t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>О внесении изменени</w:t>
      </w:r>
      <w:r>
        <w:rPr>
          <w:rFonts w:eastAsia="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в </w:t>
      </w:r>
      <w:r>
        <w:rPr>
          <w:rFonts w:eastAsia="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риказ Министерства агропромышленного комплекса и развития сельских территорий Ульяновской области 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>от 03.12.2021 № 49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cs="PT Astra Serif" w:ascii="PT Astra Serif" w:hAnsi="PT Astra Serif"/>
          <w:color w:val="auto"/>
          <w:sz w:val="28"/>
          <w:szCs w:val="28"/>
        </w:rPr>
        <w:t>1. Внести изменени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 xml:space="preserve">е в </w:t>
      </w:r>
      <w:r>
        <w:rPr>
          <w:rFonts w:cs="PT Astra Serif" w:ascii="PT Astra Serif" w:hAnsi="PT Astra Serif"/>
          <w:color w:val="auto"/>
          <w:sz w:val="28"/>
          <w:szCs w:val="28"/>
        </w:rPr>
        <w:t>Порядо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к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разработки и утверждения органами местного самоуправления схем размещения нестационарных торговых объектов на территории Ульяновской области (далее — Порядок), утверждённый приказом Министерства агропромышленного комплекса                      и развития сельских территорий Ульяновской области от 03.12.2021 № 49              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«Об утверждении Порядка разработки и утверждения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органами местного самоуправления схем размещения нестационарных торговых объектов                      на территории Ульяновской области и признании утратившими силу отдельных нормативных правовых актов Министерства сельского, лесного хозяйства                  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и природных ресурсов Ульяновской области»,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изложив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пункт 2.13 в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«2.13. Порядок проведения аукциона и регулирование правоотношений между хозяйствующим субъектом и органом местного самоуправления                           по размещению НТО устанавливается нормативным правовым актом соответствующего органа местного самоуправления: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1)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м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инимальный срок действия договора на размещение НТО                             по которому объявляется аукцион должен составлять не менее 10 лет;                          </w:t>
      </w:r>
      <w:r>
        <w:rPr>
          <w:rFonts w:cs="PT Astra Serif" w:ascii="PT Astra Serif" w:hAnsi="PT Astra Serif"/>
          <w:sz w:val="28"/>
          <w:szCs w:val="28"/>
        </w:rPr>
        <w:t xml:space="preserve"> </w:t>
        <w:tab/>
        <w:t>2)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 xml:space="preserve"> победителем аукциона признаётся участник, предложивший наиболее высокий размер платы за размещение НТО, либо действующий правообладатель, если он заявил о своём желании заключить договор                     на размещение НТО по объявленной аукционистом наиболее высокой цене;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/>
      </w:pP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3) х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озяйствующий субъект имеет право продления срока действия договоров на размещение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 xml:space="preserve">НТО 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без проведения торгов на срок до 2030 года,               при условии, что хозяйствующий субъект берёт на себя обязательства по размещению НТО в соответствии с типовыми эскизным проектом или эскизным проектом, утверждённым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отраслевым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органом местного самоуправления,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наделённым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полномочиями в области архитектуры                         и градостроительства;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/>
      </w:pP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PT Astra Serif" w:ascii="PT Astra Serif" w:hAnsi="PT Astra Serif"/>
          <w:color w:val="auto"/>
          <w:sz w:val="28"/>
          <w:szCs w:val="28"/>
        </w:rPr>
        <w:t>) размер платы за размещение НТО устанавливается в соответствии                          с порядком размещения НТО, принятым орган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cs="PT Astra Serif" w:ascii="PT Astra Serif" w:hAnsi="PT Astra Serif"/>
          <w:color w:val="auto"/>
          <w:sz w:val="28"/>
          <w:szCs w:val="28"/>
        </w:rPr>
        <w:t>м местного самоуправления».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/>
      </w:pP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PT Astra Serif" w:ascii="PT Astra Serif" w:hAnsi="PT Astra Serif"/>
          <w:color w:val="auto"/>
          <w:sz w:val="28"/>
          <w:szCs w:val="28"/>
        </w:rPr>
        <w:t>. Настоящий приказ вступает в силу на следующий день после дня                его официального опубликования.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color w:val="C9211E"/>
          <w:sz w:val="28"/>
          <w:szCs w:val="28"/>
        </w:rPr>
      </w:pPr>
      <w:r>
        <w:rPr>
          <w:rFonts w:cs="PT Astra Serif" w:ascii="PT Astra Serif" w:hAnsi="PT Astra Serif"/>
          <w:color w:val="C9211E"/>
          <w:sz w:val="28"/>
          <w:szCs w:val="28"/>
        </w:rPr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color w:val="C9211E"/>
          <w:sz w:val="28"/>
          <w:szCs w:val="28"/>
        </w:rPr>
      </w:pPr>
      <w:r>
        <w:rPr>
          <w:rFonts w:cs="PT Astra Serif" w:ascii="PT Astra Serif" w:hAnsi="PT Astra Serif"/>
          <w:color w:val="C9211E"/>
          <w:sz w:val="28"/>
          <w:szCs w:val="28"/>
        </w:rPr>
      </w:r>
    </w:p>
    <w:p>
      <w:pPr>
        <w:pStyle w:val="Normal"/>
        <w:jc w:val="left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Министр агропромышленного комплекса</w:t>
      </w:r>
    </w:p>
    <w:p>
      <w:pPr>
        <w:pStyle w:val="Normal"/>
        <w:jc w:val="left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и развития сельских территорий </w:t>
      </w:r>
    </w:p>
    <w:p>
      <w:pPr>
        <w:pStyle w:val="Normal"/>
        <w:jc w:val="left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Ульяновской области                                                                          М.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И.Семёнкин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701" w:right="567" w:header="735" w:top="1365" w:footer="0" w:bottom="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color w:val="auto"/>
      <w:kern w:val="0"/>
      <w:sz w:val="20"/>
      <w:szCs w:val="20"/>
      <w:lang w:val="ru-RU" w:eastAsia="ru-RU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PT Astra Serif" w:hAnsi="PT Astra Serif" w:eastAsia="Times New Roman" w:cs="Times New Roman"/>
      <w:spacing w:val="-6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PT Astra Serif" w:hAnsi="PT Astra Serif" w:eastAsia="Times New Roman" w:cs="Times New Roman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PT Astra Serif" w:hAnsi="PT Astra Serif" w:eastAsia="Times New Roman" w:cs="Times New Roman"/>
      <w:color w:val="auto"/>
      <w:spacing w:val="-6"/>
      <w:sz w:val="26"/>
      <w:szCs w:val="26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Body Text Indent"/>
    <w:basedOn w:val="Style17"/>
    <w:pPr>
      <w:ind w:left="0" w:right="0" w:hanging="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paragraph" w:styleId="Style26">
    <w:name w:val="Foot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LibreOffice/6.4.7.2$Linux_X86_64 LibreOffice_project/40$Build-2</Application>
  <Pages>2</Pages>
  <Words>281</Words>
  <Characters>2043</Characters>
  <CharactersWithSpaces>2739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2021-05-17T06:01:00Z</dcterms:created>
  <dc:creator>Knyazkina</dc:creator>
  <dc:description/>
  <dc:language>ru-RU</dc:language>
  <cp:lastModifiedBy/>
  <cp:lastPrinted>2022-11-10T16:46:10Z</cp:lastPrinted>
  <dcterms:modified xsi:type="dcterms:W3CDTF">2022-11-10T16:46:53Z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